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f6cbe55124d4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16184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Dr. VINKA ŽGANCA VRATIŠINEC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795.827,08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844.654,45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784.827,16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905.385,67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60.731,22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14.868,79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10.790,00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14.868,79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10.790,00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3.868,87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71.521,22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1848,6</w:t>
            </w:r>
          </w:p>
        </w:tc>
      </w:tr>
    </w:tbl>
    <w:p>
      <w:pPr>
        <w:spacing w:before="0" w:after="0"/>
      </w:pPr>
    </w:p>
    <w:p>
      <w:r>
        <w:t xml:space="preserve">Manjak prihoda i primitaka za izvještajno razdoblje do 31.12.2025. ponajprije se odnosi na plaću za zaposlenike za prosinac 2025., koja će biti isplaćena 09.01.2026. Kako prema Zakonu o proračunu, evidentiramo 13 rashoda, a 12 prihoda, tako je nastala i razlika. Dio manjka odnosi se na račune za energente za mjesec prosinac, koji su plaćeni u siječnju 2026. Manjak prihoda od nefinancijske imovine ( za obveznu korekciju rezultata ), pokrit će se viškom prihoda poslovanja iz prethodnih godina.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2.247,57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1.500,01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66,7</w:t>
            </w:r>
          </w:p>
        </w:tc>
      </w:tr>
    </w:tbl>
    <w:p>
      <w:pPr>
        <w:spacing w:before="0" w:after="0"/>
      </w:pPr>
    </w:p>
    <w:p>
      <w:r>
        <w:t xml:space="preserve">Općina Vratišinec, u odnosu na 2024. godinu, ne sufinancira više rad Pomoćnika u nastavi.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711.890,16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769.917,03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108,2</w:t>
            </w:r>
          </w:p>
        </w:tc>
      </w:tr>
    </w:tbl>
    <w:p>
      <w:pPr>
        <w:spacing w:before="0" w:after="0"/>
      </w:pPr>
    </w:p>
    <w:p>
      <w:r>
        <w:t xml:space="preserve">Na kontu 6361 prihodi iz nadležnog Ministarstva, dio povećanja odnosi se na prehranu učenika, dio na plaće za zaposlene.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5.757,66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3.922,00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68,1</w:t>
            </w:r>
          </w:p>
        </w:tc>
      </w:tr>
    </w:tbl>
    <w:p>
      <w:pPr>
        <w:spacing w:before="0" w:after="0"/>
      </w:pPr>
    </w:p>
    <w:p>
      <w:r>
        <w:t xml:space="preserve">Smanjenje prihoda od roditelja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11.151,25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35,9</w:t>
            </w:r>
          </w:p>
        </w:tc>
      </w:tr>
    </w:tbl>
    <w:p>
      <w:pPr>
        <w:spacing w:before="0" w:after="0"/>
      </w:pPr>
    </w:p>
    <w:p>
      <w:r>
        <w:t xml:space="preserve">Kapitalni prihod ove godine, primljen za opremanje škole vezan uz sigurnost učenika i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559.121,17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677.744,16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121,2</w:t>
            </w:r>
          </w:p>
        </w:tc>
      </w:tr>
    </w:tbl>
    <w:p>
      <w:pPr>
        <w:spacing w:before="0" w:after="0"/>
      </w:pPr>
    </w:p>
    <w:p>
      <w:r>
        <w:t xml:space="preserve">Rashodi za plaće zaposlenih, povećali su se ponajprije, evidentiranjem 1 rashoda više u odnosu na prošlu kalendarsku godinu.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90.943,41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110.935,44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122,0</w:t>
            </w:r>
          </w:p>
        </w:tc>
      </w:tr>
    </w:tbl>
    <w:p>
      <w:pPr>
        <w:spacing w:before="0" w:after="0"/>
      </w:pPr>
    </w:p>
    <w:p>
      <w:r>
        <w:t xml:space="preserve">Doprinosi za plaće zaposlenih, povećali su se ponajprije, evidentiranjem 1 rashoda više u odnosu na prošlu kalendarsku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2.340,58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2.650,91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113,3</w:t>
            </w:r>
          </w:p>
        </w:tc>
      </w:tr>
    </w:tbl>
    <w:p>
      <w:pPr>
        <w:spacing w:before="0" w:after="0"/>
      </w:pPr>
    </w:p>
    <w:p>
      <w:r>
        <w:t xml:space="preserve">Povećane su cijene usluga tekućeg i investicijskoga održavanja.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2.076,93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234,0</w:t>
            </w:r>
          </w:p>
        </w:tc>
      </w:tr>
    </w:tbl>
    <w:p>
      <w:pPr>
        <w:spacing w:before="0" w:after="0"/>
      </w:pPr>
    </w:p>
    <w:p>
      <w:r>
        <w:t xml:space="preserve">Povećanje u odnosu na prošlu godinu- sistematski pregled za djelatnike.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2.564,62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236,8</w:t>
            </w:r>
          </w:p>
        </w:tc>
      </w:tr>
    </w:tbl>
    <w:p>
      <w:pPr>
        <w:spacing w:before="0" w:after="0"/>
      </w:pPr>
    </w:p>
    <w:p>
      <w:r>
        <w:t xml:space="preserve">Računalne usluge - povećanje zbog uvođenja dodatnog programa za računovodstveno poslovanje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2.276,15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2.689,24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118,1</w:t>
            </w:r>
          </w:p>
        </w:tc>
      </w:tr>
    </w:tbl>
    <w:p>
      <w:pPr>
        <w:spacing w:before="0" w:after="0"/>
      </w:pPr>
    </w:p>
    <w:p>
      <w:r>
        <w:t xml:space="preserve">Ostale usluge - povećanje troškova, izradom procjene rizika za matičnu i područnu školu.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3.295,38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159,8</w:t>
            </w:r>
          </w:p>
        </w:tc>
      </w:tr>
    </w:tbl>
    <w:p>
      <w:pPr>
        <w:spacing w:before="0" w:after="0"/>
      </w:pPr>
    </w:p>
    <w:p>
      <w:r>
        <w:t xml:space="preserve">Pristojbe i naknade - dio povećanja odnosi se na novo knjiženje HRT pristojbe u odnosu na 2024. godinu, a dio povećanja odnosi se na pristojbe vezane uz dokumentaciju za dogradnju škole i izgradnju školske dvorane.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216,10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42,9</w:t>
            </w:r>
          </w:p>
        </w:tc>
      </w:tr>
    </w:tbl>
    <w:p>
      <w:pPr>
        <w:spacing w:before="0" w:after="0"/>
      </w:pPr>
    </w:p>
    <w:p>
      <w:r>
        <w:t xml:space="preserve">Bankarske usluge - u svibnju 2025. zatvoren poslovni račun, prelaskom na sustav Riznice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60.731,22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Rezultat poslovanja - Manjak prihoda poslovanja, nastao ponajviše nedostatkom prihoda za zaposlene ( odnosno novim evidentiranjem plaća za zaposlene ).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7.238,37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Nabavljena oprema u sklopu opremanja sigurnosti škola, te nabavljena nova kosilica.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3.868,87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71.521,22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1848,6</w:t>
            </w:r>
          </w:p>
        </w:tc>
      </w:tr>
    </w:tbl>
    <w:p>
      <w:pPr>
        <w:spacing w:before="0" w:after="0"/>
      </w:pPr>
    </w:p>
    <w:p>
      <w:r>
        <w:t xml:space="preserve">Ukupan manjak prihoda poslovanja u izvještajnim razdoblju od 01.01.-31.12.2025. godine u iznosu od 71.521,22 eura ponajprije se odnosi na isplatu plaće za zaposlenike koja će biti isplaćena dana 09.01.2026., te na energente za prosinac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3.868,87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71.521,22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1848,6</w:t>
            </w:r>
          </w:p>
        </w:tc>
      </w:tr>
    </w:tbl>
    <w:p>
      <w:pPr>
        <w:spacing w:before="0" w:after="0"/>
      </w:pPr>
    </w:p>
    <w:p>
      <w:r>
        <w:t xml:space="preserve">Ukupan manjak prihoda poslovanja u izvještajnim razdoblju od 01.01.-31.12.2025. godine u iznosu od 71.521,22 eura ponajprije se odnosi na isplatu plaće za zaposlenike koja će biti isplaćena dana 09.01.2026., te na energente za prosinac 2025.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717.317,12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697.783,78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97,3</w:t>
            </w:r>
          </w:p>
        </w:tc>
      </w:tr>
    </w:tbl>
    <w:p>
      <w:pPr>
        <w:spacing w:before="0" w:after="0"/>
      </w:pPr>
    </w:p>
    <w:p>
      <w:r>
        <w:t xml:space="preserve">B001 DO 064 iskazana je nefinancijska imovina škole. Izvršen je godišnji ispravak vrijednosti prema propisanim stopama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knjiga, umjetničkih djela i ostalih izložbenih vrijednosti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3.485,91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8.745,59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250,9</w:t>
            </w:r>
          </w:p>
        </w:tc>
      </w:tr>
    </w:tbl>
    <w:p>
      <w:pPr>
        <w:spacing w:before="0" w:after="0"/>
      </w:pPr>
    </w:p>
    <w:p>
      <w:r>
        <w:t xml:space="preserve">Prema Reviziji iz 2025. godine, otpisani oštećeni i neupotrebljivi naslovi.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sitnog inventara i autoguma u upotrebi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54.954,41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46.135,42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84,0</w:t>
            </w:r>
          </w:p>
        </w:tc>
      </w:tr>
    </w:tbl>
    <w:p>
      <w:pPr>
        <w:spacing w:before="0" w:after="0"/>
      </w:pPr>
    </w:p>
    <w:p>
      <w:r>
        <w:t xml:space="preserve">U 2025. godini izvršen otpis sitnog inventara koji više nije u upotrebi.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15.271,20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-56.250,03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-368,3</w:t>
            </w:r>
          </w:p>
        </w:tc>
      </w:tr>
    </w:tbl>
    <w:p>
      <w:pPr>
        <w:spacing w:before="0" w:after="0"/>
      </w:pPr>
    </w:p>
    <w:p>
      <w:r>
        <w:t xml:space="preserve">Rezultat poslovanja za razdoblje 01.01.-31.12.2025. iznosi 56.250,03 manjak prihoda poslovanja, nastao uslijed novih propisa evidentiranja plaća za zaposlenike 13 rashoda i 12 prihoda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- nedospjele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60.237,46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69.765,66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115,8</w:t>
            </w:r>
          </w:p>
        </w:tc>
      </w:tr>
    </w:tbl>
    <w:p>
      <w:pPr>
        <w:spacing w:before="0" w:after="0"/>
      </w:pPr>
    </w:p>
    <w:p>
      <w:r>
        <w:t xml:space="preserve">Nedospjele obveze su obveze za zaposlene u iznosu 63.295,52 eura i obveze za materijalne rashode u iznosu 6.470,14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22.450,65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22.736,79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101,3</w:t>
            </w:r>
          </w:p>
        </w:tc>
      </w:tr>
    </w:tbl>
    <w:p>
      <w:pPr>
        <w:spacing w:before="0" w:after="0"/>
      </w:pPr>
    </w:p>
    <w:p>
      <w:r>
        <w:t xml:space="preserve">Dodatne usluge u obrazovanju-odnose se na školsku prehranu učenika.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obrazovanja koje nisu drugdje svrstane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97,0</w:t>
            </w:r>
          </w:p>
        </w:tc>
      </w:tr>
    </w:tbl>
    <w:p>
      <w:pPr>
        <w:spacing w:before="0" w:after="0"/>
      </w:pPr>
    </w:p>
    <w:p>
      <w:r>
        <w:t xml:space="preserve">Usluge obrazovanja koje nisu drugdje svrstane - odnose se na menstrualne potrebe škole, koje financira MZOM.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32.985,83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32.985,83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Proizvedena dugotrajna imovina - ispravak vrijednosti za 2025. godinu.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izvještajog razdbolja - stanje s 31.12.2025. je 0,00 eura.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69.765,66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su obveze za zaposlene u iznosu 63.295,52 eura i obveze za materijalne rashode u iznosu 6.470,14 eura.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e15e93960047db" /></Relationships>
</file>